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A7633F" w:rsidRPr="00A7633F" w:rsidRDefault="00A7633F" w:rsidP="00A763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7633F">
        <w:rPr>
          <w:bCs/>
          <w:sz w:val="28"/>
          <w:szCs w:val="28"/>
        </w:rPr>
        <w:t>«Сестринское дело в детской офтальмологии»</w:t>
      </w:r>
    </w:p>
    <w:p w:rsidR="00EB1A5A" w:rsidRDefault="00EB1A5A" w:rsidP="00EB1A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633F" w:rsidRPr="00233AB2" w:rsidRDefault="00A7633F" w:rsidP="00A7633F">
      <w:pPr>
        <w:pStyle w:val="2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233AB2">
        <w:rPr>
          <w:sz w:val="28"/>
          <w:szCs w:val="28"/>
        </w:rPr>
        <w:t>Дополнительная профессиональная программа повышения квалификации «Сестринское дело в детской офтальмологии» предназначена для совершенствования профессиональных компетенций в области оказания офтальмологической помощи детскому населению, необходимых при осуществлении профессиональной деятельности медицинских сестер отделений (кабинетов) офтальмологии.</w:t>
      </w:r>
    </w:p>
    <w:p w:rsidR="00A7633F" w:rsidRPr="00233AB2" w:rsidRDefault="00A7633F" w:rsidP="00A7633F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233AB2">
        <w:rPr>
          <w:sz w:val="28"/>
          <w:szCs w:val="28"/>
        </w:rPr>
        <w:t xml:space="preserve">Программа составлена с учетом </w:t>
      </w:r>
      <w:r>
        <w:rPr>
          <w:sz w:val="28"/>
          <w:szCs w:val="28"/>
        </w:rPr>
        <w:t>требований профессионального стандарта «Медицинская сестра/медицинский брат» и в соответствии с требованиями,</w:t>
      </w:r>
      <w:r w:rsidRPr="00233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изложенными </w:t>
      </w:r>
      <w:r w:rsidRPr="00233AB2">
        <w:rPr>
          <w:sz w:val="28"/>
          <w:szCs w:val="28"/>
        </w:rPr>
        <w:t xml:space="preserve">в Федеральных законах, законодательных документах Минтруда России, Минздрава России, </w:t>
      </w:r>
      <w:proofErr w:type="spellStart"/>
      <w:r w:rsidRPr="00233AB2">
        <w:rPr>
          <w:sz w:val="28"/>
          <w:szCs w:val="28"/>
        </w:rPr>
        <w:t>Минобрнауки</w:t>
      </w:r>
      <w:proofErr w:type="spellEnd"/>
      <w:r w:rsidRPr="00233AB2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образованием, в том числе в области оказания офтальмологической помощи.</w:t>
      </w:r>
    </w:p>
    <w:p w:rsidR="00A7633F" w:rsidRDefault="00A7633F" w:rsidP="00D05C55">
      <w:pPr>
        <w:ind w:firstLine="709"/>
        <w:jc w:val="both"/>
        <w:rPr>
          <w:sz w:val="28"/>
          <w:szCs w:val="28"/>
        </w:rPr>
      </w:pPr>
      <w:r w:rsidRPr="00233AB2">
        <w:rPr>
          <w:sz w:val="28"/>
          <w:szCs w:val="28"/>
        </w:rPr>
        <w:t>К освоению Программы допускаются специалисты, имеющие среднее профессиональное образование по одной из специальностей «Лечебное дело»,</w:t>
      </w:r>
      <w:r w:rsidRPr="00233AB2">
        <w:rPr>
          <w:strike/>
          <w:sz w:val="28"/>
          <w:szCs w:val="28"/>
        </w:rPr>
        <w:t xml:space="preserve"> </w:t>
      </w:r>
      <w:r w:rsidRPr="00233AB2">
        <w:rPr>
          <w:sz w:val="28"/>
          <w:szCs w:val="28"/>
        </w:rPr>
        <w:t>«Акушерское дело», «Сестринское дело»</w:t>
      </w:r>
      <w:r w:rsidR="00BB4A20">
        <w:rPr>
          <w:sz w:val="28"/>
          <w:szCs w:val="28"/>
        </w:rPr>
        <w:t xml:space="preserve"> и профессиональную переподготовку по специальности «Сестринское дело в педиатрии»</w:t>
      </w:r>
      <w:r w:rsidRPr="00233AB2">
        <w:rPr>
          <w:sz w:val="28"/>
          <w:szCs w:val="28"/>
        </w:rPr>
        <w:t xml:space="preserve"> без предъявления требований к стажу работы</w:t>
      </w:r>
      <w:r>
        <w:rPr>
          <w:sz w:val="28"/>
          <w:szCs w:val="28"/>
        </w:rPr>
        <w:t>.</w:t>
      </w:r>
    </w:p>
    <w:p w:rsidR="00A7633F" w:rsidRPr="00233AB2" w:rsidRDefault="00A7633F" w:rsidP="00A7633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233AB2">
        <w:rPr>
          <w:sz w:val="28"/>
          <w:szCs w:val="28"/>
        </w:rPr>
        <w:t>В результате освоения Программы у слушателя должны быть усовершенствованы компетенции, необходимые для осуществления профессиональной деятельности:</w:t>
      </w:r>
    </w:p>
    <w:p w:rsidR="00A7633F" w:rsidRPr="00233AB2" w:rsidRDefault="00A7633F" w:rsidP="00A7633F">
      <w:pPr>
        <w:pStyle w:val="a5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233AB2">
        <w:rPr>
          <w:spacing w:val="-4"/>
          <w:sz w:val="28"/>
          <w:szCs w:val="28"/>
        </w:rPr>
        <w:tab/>
        <w:t xml:space="preserve">ОК-1 </w:t>
      </w:r>
      <w:r w:rsidRPr="00233AB2">
        <w:rPr>
          <w:sz w:val="28"/>
          <w:szCs w:val="28"/>
        </w:rPr>
        <w:t>Готовность к взаимодействию в</w:t>
      </w:r>
      <w:r w:rsidRPr="00233AB2">
        <w:rPr>
          <w:spacing w:val="-4"/>
          <w:sz w:val="28"/>
          <w:szCs w:val="28"/>
        </w:rPr>
        <w:t xml:space="preserve"> 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</w:t>
      </w:r>
    </w:p>
    <w:p w:rsidR="00A7633F" w:rsidRPr="00233AB2" w:rsidRDefault="00A7633F" w:rsidP="00A7633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33AB2">
        <w:rPr>
          <w:sz w:val="28"/>
          <w:szCs w:val="28"/>
        </w:rPr>
        <w:t>ОК-2 Готовность к обеспечению безопасной среды для пациента и персонала;</w:t>
      </w:r>
    </w:p>
    <w:p w:rsidR="00A7633F" w:rsidRPr="00233AB2" w:rsidRDefault="00A7633F" w:rsidP="00A7633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33AB2">
        <w:rPr>
          <w:sz w:val="28"/>
          <w:szCs w:val="28"/>
        </w:rPr>
        <w:t xml:space="preserve">ОК-3 </w:t>
      </w:r>
      <w:r w:rsidRPr="00233AB2">
        <w:rPr>
          <w:rFonts w:eastAsiaTheme="minorEastAsia" w:cs="Arial"/>
          <w:bCs/>
          <w:sz w:val="28"/>
          <w:szCs w:val="28"/>
        </w:rPr>
        <w:t>Способность и готовность оказывать медицинскую помощь в экстренной форме;</w:t>
      </w:r>
    </w:p>
    <w:p w:rsidR="00A7633F" w:rsidRPr="00233AB2" w:rsidRDefault="00A7633F" w:rsidP="00A7633F">
      <w:pPr>
        <w:pStyle w:val="a8"/>
        <w:ind w:firstLine="567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233AB2">
        <w:rPr>
          <w:rFonts w:eastAsiaTheme="minorHAnsi" w:cstheme="minorBidi"/>
          <w:iCs/>
          <w:sz w:val="28"/>
          <w:szCs w:val="28"/>
          <w:lang w:eastAsia="en-US"/>
        </w:rPr>
        <w:t>ПК-1. Готовность проводить профилактические мероприятия заболеваний и повреждений глаз в детской офтальмологии.</w:t>
      </w:r>
    </w:p>
    <w:p w:rsidR="00A7633F" w:rsidRPr="00233AB2" w:rsidRDefault="00A7633F" w:rsidP="00A7633F">
      <w:pPr>
        <w:pStyle w:val="a8"/>
        <w:ind w:firstLine="567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233AB2">
        <w:rPr>
          <w:sz w:val="28"/>
          <w:szCs w:val="28"/>
          <w:lang w:eastAsia="en-US"/>
        </w:rPr>
        <w:t>ПК-2. Способность оказывать сестринскую помощь при выполнении лечебных и диагностических мероприятий пациентам в детской офтальмологии.</w:t>
      </w:r>
    </w:p>
    <w:p w:rsidR="00724253" w:rsidRDefault="00724253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Объем Программы – 144 академических часа.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724253" w:rsidRDefault="00724253" w:rsidP="007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 и проведению базовой сердечно-лёгочной реанимации.</w:t>
      </w:r>
    </w:p>
    <w:p w:rsidR="007146CD" w:rsidRDefault="00724253" w:rsidP="00724253">
      <w:pPr>
        <w:jc w:val="both"/>
      </w:pPr>
      <w:r>
        <w:rPr>
          <w:sz w:val="28"/>
          <w:szCs w:val="28"/>
        </w:rPr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 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6F" id="Прямоугольник 1" o:spid="_x0000_s1026" style="position:absolute;margin-left:464.65pt;margin-top:10.9pt;width:3.2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; напольный коврик; устройство для проведения ИВЛ (рот в рот) однократного применения; дыхательная маска; манекен взрослого человека для спасательных мероприятий (48 кг); манекен поперхнувшегося взрослого для отработки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3E0CF9"/>
    <w:rsid w:val="007146CD"/>
    <w:rsid w:val="00724253"/>
    <w:rsid w:val="00900664"/>
    <w:rsid w:val="00A7633F"/>
    <w:rsid w:val="00BB4A20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2DF3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rsid w:val="00A7633F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7633F"/>
    <w:pPr>
      <w:widowControl w:val="0"/>
      <w:shd w:val="clear" w:color="auto" w:fill="FFFFFF"/>
      <w:spacing w:after="300" w:line="0" w:lineRule="atLeast"/>
      <w:ind w:hanging="500"/>
      <w:jc w:val="center"/>
    </w:pPr>
  </w:style>
  <w:style w:type="paragraph" w:styleId="a8">
    <w:name w:val="No Spacing"/>
    <w:uiPriority w:val="99"/>
    <w:qFormat/>
    <w:rsid w:val="00A7633F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5</cp:revision>
  <cp:lastPrinted>2021-02-24T10:14:00Z</cp:lastPrinted>
  <dcterms:created xsi:type="dcterms:W3CDTF">2021-02-24T09:33:00Z</dcterms:created>
  <dcterms:modified xsi:type="dcterms:W3CDTF">2021-02-26T05:11:00Z</dcterms:modified>
</cp:coreProperties>
</file>