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497A" w:rsidRDefault="00B0497A" w:rsidP="00B049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«Функциональная диагностика»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B0497A" w:rsidTr="00B049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</w:pPr>
            <w:r>
              <w:t>Форма контроля</w:t>
            </w:r>
          </w:p>
        </w:tc>
      </w:tr>
      <w:tr w:rsidR="00B0497A" w:rsidTr="00B0497A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</w:pPr>
          </w:p>
        </w:tc>
      </w:tr>
      <w:tr w:rsidR="00B0497A" w:rsidTr="00B0497A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</w:pPr>
          </w:p>
        </w:tc>
      </w:tr>
      <w:tr w:rsidR="00B0497A" w:rsidTr="00B049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A" w:rsidRDefault="00B049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0497A" w:rsidTr="00B049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0497A" w:rsidTr="00B049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ПМ 1 «</w:t>
            </w:r>
            <w:r>
              <w:rPr>
                <w:sz w:val="24"/>
                <w:szCs w:val="24"/>
              </w:rPr>
              <w:t>Современные аспекты функциональных исследований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497A" w:rsidTr="00B049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0497A" w:rsidTr="00B04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0497A" w:rsidTr="00B04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7A" w:rsidRDefault="00B049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Default="00B04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A" w:rsidRDefault="00B0497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B0497A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54DB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2021-03-01T11:30:00Z</dcterms:modified>
</cp:coreProperties>
</file>