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4C3723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4C3723">
        <w:rPr>
          <w:bCs/>
          <w:sz w:val="28"/>
          <w:szCs w:val="28"/>
        </w:rPr>
        <w:t xml:space="preserve">профессиональному модулю </w:t>
      </w:r>
      <w:r w:rsidR="004C3723" w:rsidRPr="004C3723">
        <w:rPr>
          <w:bCs/>
          <w:sz w:val="28"/>
          <w:szCs w:val="28"/>
          <w:lang w:eastAsia="ru-RU"/>
        </w:rPr>
        <w:t>«Современные аспекты организации и оказания сестринской фтизиатрической помощи»</w:t>
      </w:r>
      <w:r w:rsidR="002E06E5" w:rsidRPr="004C3723">
        <w:rPr>
          <w:bCs/>
          <w:sz w:val="28"/>
          <w:szCs w:val="28"/>
        </w:rPr>
        <w:t xml:space="preserve"> </w:t>
      </w:r>
      <w:r w:rsidRPr="004C3723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4C3723" w:rsidRPr="004C3723" w:rsidRDefault="004C3723" w:rsidP="004C37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C3723">
        <w:rPr>
          <w:bCs/>
          <w:sz w:val="28"/>
          <w:szCs w:val="28"/>
        </w:rPr>
        <w:t>«Сестринское дело во фтизиатрии»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4C3723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оказания медицинской помощи по профилю «фтизиатрия»;</w:t>
      </w:r>
    </w:p>
    <w:p w:rsidR="004C3723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санитарно-противоэпидемического режима в противотуберкулезных учреждениях;</w:t>
      </w:r>
    </w:p>
    <w:p w:rsidR="004C3723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сестринской помощи при легочной и внелегочной формах туберкулеза у взрослых;</w:t>
      </w:r>
    </w:p>
    <w:p w:rsidR="004C3723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пациентов к лабораторному исследованию патологического материала на МБТ;</w:t>
      </w:r>
    </w:p>
    <w:p w:rsidR="004C3723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принципы химиотерапии туберкулеза;</w:t>
      </w:r>
    </w:p>
    <w:p w:rsidR="002E06E5" w:rsidRPr="002E06E5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помощи при </w:t>
      </w:r>
      <w:r w:rsidR="002E06E5" w:rsidRPr="002E06E5">
        <w:rPr>
          <w:sz w:val="28"/>
          <w:szCs w:val="28"/>
        </w:rPr>
        <w:t>неотложны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в</w:t>
      </w:r>
      <w:r>
        <w:rPr>
          <w:sz w:val="28"/>
          <w:szCs w:val="28"/>
        </w:rPr>
        <w:t>о фтизиатрии</w:t>
      </w:r>
      <w:r w:rsidR="002E06E5" w:rsidRPr="002E06E5"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уход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 xml:space="preserve"> за </w:t>
      </w:r>
      <w:r w:rsidR="004C3723">
        <w:rPr>
          <w:rFonts w:eastAsia="Calibri"/>
          <w:sz w:val="28"/>
          <w:szCs w:val="28"/>
        </w:rPr>
        <w:t>фтизиатрическими</w:t>
      </w:r>
      <w:r w:rsidRPr="002E06E5">
        <w:rPr>
          <w:rFonts w:eastAsia="Calibri"/>
          <w:sz w:val="28"/>
          <w:szCs w:val="28"/>
        </w:rPr>
        <w:t xml:space="preserve"> больными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4C3723" w:rsidRPr="004C3723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выявления и профилактики туберкулеза среди населения;</w:t>
      </w:r>
    </w:p>
    <w:p w:rsidR="004C3723" w:rsidRPr="004C3723" w:rsidRDefault="004C3723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предупреждени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распространения туберкулеза среди населения</w:t>
      </w:r>
      <w:r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  <w:bookmarkStart w:id="0" w:name="_GoBack"/>
      <w:bookmarkEnd w:id="0"/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4C3723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5AB8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2021-03-01T11:25:00Z</dcterms:modified>
</cp:coreProperties>
</file>