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5A0C79" w:rsidRPr="00994389" w:rsidRDefault="005A0C79" w:rsidP="005A0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4389">
        <w:rPr>
          <w:bCs/>
          <w:sz w:val="28"/>
          <w:szCs w:val="28"/>
        </w:rPr>
        <w:t>«</w:t>
      </w:r>
      <w:r w:rsidRPr="004234BE">
        <w:rPr>
          <w:bCs/>
          <w:sz w:val="28"/>
          <w:szCs w:val="28"/>
        </w:rPr>
        <w:t>Современные аспекты управления, экономики в здравоохранении</w:t>
      </w:r>
      <w:r w:rsidRPr="00994389">
        <w:rPr>
          <w:bCs/>
          <w:sz w:val="28"/>
          <w:szCs w:val="28"/>
        </w:rPr>
        <w:t>»</w:t>
      </w:r>
    </w:p>
    <w:p w:rsidR="00BE25EE" w:rsidRPr="00BE25EE" w:rsidRDefault="00BE25EE" w:rsidP="00BE25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C79" w:rsidRPr="00F91127" w:rsidRDefault="005A0C79" w:rsidP="005A0C79">
      <w:pPr>
        <w:ind w:firstLine="680"/>
        <w:jc w:val="both"/>
        <w:rPr>
          <w:sz w:val="28"/>
          <w:szCs w:val="28"/>
        </w:rPr>
      </w:pPr>
      <w:r w:rsidRPr="00F91127">
        <w:rPr>
          <w:color w:val="000000"/>
          <w:sz w:val="28"/>
          <w:szCs w:val="28"/>
        </w:rPr>
        <w:t xml:space="preserve">Дополнительная профессиональная программа повышения квалификации </w:t>
      </w:r>
      <w:r w:rsidRPr="00A80B3B">
        <w:rPr>
          <w:color w:val="000000"/>
          <w:sz w:val="28"/>
          <w:szCs w:val="28"/>
        </w:rPr>
        <w:t>«</w:t>
      </w:r>
      <w:r w:rsidRPr="005B78D4">
        <w:rPr>
          <w:sz w:val="28"/>
          <w:szCs w:val="28"/>
        </w:rPr>
        <w:t>Современные аспекты управления, экономики в здравоохранении</w:t>
      </w:r>
      <w:r w:rsidRPr="00A80B3B">
        <w:rPr>
          <w:color w:val="000000"/>
          <w:sz w:val="28"/>
          <w:szCs w:val="28"/>
        </w:rPr>
        <w:t xml:space="preserve">» предназначена для </w:t>
      </w:r>
      <w:r w:rsidRPr="00F91127">
        <w:rPr>
          <w:sz w:val="28"/>
          <w:szCs w:val="28"/>
        </w:rPr>
        <w:t>совершенствования профессиональных компетенций</w:t>
      </w:r>
      <w:r>
        <w:rPr>
          <w:sz w:val="28"/>
          <w:szCs w:val="28"/>
        </w:rPr>
        <w:t xml:space="preserve"> в области управления средним медицинским персоналом</w:t>
      </w:r>
      <w:r w:rsidRPr="00F91127">
        <w:rPr>
          <w:sz w:val="28"/>
          <w:szCs w:val="28"/>
        </w:rPr>
        <w:t>, необходимых при осуществлении профессиональной деятельности</w:t>
      </w:r>
      <w:r w:rsidRPr="00D038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главной </w:t>
      </w:r>
      <w:r w:rsidRPr="00F91127">
        <w:rPr>
          <w:sz w:val="28"/>
          <w:szCs w:val="28"/>
        </w:rPr>
        <w:t>медицинской сестры</w:t>
      </w:r>
      <w:r>
        <w:rPr>
          <w:sz w:val="28"/>
          <w:szCs w:val="28"/>
        </w:rPr>
        <w:t xml:space="preserve"> медицинской организации</w:t>
      </w:r>
      <w:r w:rsidRPr="00F91127">
        <w:rPr>
          <w:sz w:val="28"/>
          <w:szCs w:val="28"/>
        </w:rPr>
        <w:t>.</w:t>
      </w:r>
    </w:p>
    <w:p w:rsidR="00CB3E68" w:rsidRDefault="00CB3E68" w:rsidP="00CB3E68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с учетом требований, изложенных в Федеральных законах, приказе Министерства труда и социальной защиты Российской Федерации от 31.07.2020 № 479н «Об утверждении профессионального стандарта «Специалист по организации сестринского дела»,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A0C79" w:rsidRDefault="00CB3E68" w:rsidP="005A0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F5B" w:rsidRPr="005F1EB4">
        <w:rPr>
          <w:sz w:val="28"/>
          <w:szCs w:val="28"/>
        </w:rPr>
        <w:t xml:space="preserve">К освоению Программы допускаются специалисты, </w:t>
      </w:r>
      <w:r>
        <w:rPr>
          <w:sz w:val="28"/>
          <w:szCs w:val="28"/>
        </w:rPr>
        <w:t xml:space="preserve">имеющие среднее профессиональное образование </w:t>
      </w:r>
      <w:r w:rsidR="005A0C79" w:rsidRPr="00F91127">
        <w:rPr>
          <w:sz w:val="28"/>
          <w:szCs w:val="28"/>
        </w:rPr>
        <w:t>по одной из специальностей: «Лечебное дело», «Акушерское дело», «Сестринское дело»</w:t>
      </w:r>
      <w:r w:rsidR="005A0C79">
        <w:rPr>
          <w:sz w:val="28"/>
          <w:szCs w:val="28"/>
        </w:rPr>
        <w:t>,</w:t>
      </w:r>
      <w:r w:rsidR="005A0C79" w:rsidRPr="00F91127">
        <w:rPr>
          <w:sz w:val="28"/>
          <w:szCs w:val="28"/>
        </w:rPr>
        <w:t xml:space="preserve"> профессиональн</w:t>
      </w:r>
      <w:r w:rsidR="005A0C79">
        <w:rPr>
          <w:sz w:val="28"/>
          <w:szCs w:val="28"/>
        </w:rPr>
        <w:t>ую</w:t>
      </w:r>
      <w:r w:rsidR="005A0C79" w:rsidRPr="00F91127">
        <w:rPr>
          <w:sz w:val="28"/>
          <w:szCs w:val="28"/>
        </w:rPr>
        <w:t xml:space="preserve"> переподготовк</w:t>
      </w:r>
      <w:r w:rsidR="005A0C79">
        <w:rPr>
          <w:sz w:val="28"/>
          <w:szCs w:val="28"/>
        </w:rPr>
        <w:t>у</w:t>
      </w:r>
      <w:r w:rsidR="005A0C79" w:rsidRPr="00F91127">
        <w:rPr>
          <w:sz w:val="28"/>
          <w:szCs w:val="28"/>
        </w:rPr>
        <w:t xml:space="preserve"> по специальности «</w:t>
      </w:r>
      <w:r w:rsidR="005A0C79">
        <w:rPr>
          <w:sz w:val="28"/>
          <w:szCs w:val="28"/>
        </w:rPr>
        <w:t>Организация сестринского дела</w:t>
      </w:r>
      <w:r w:rsidR="005A0C79" w:rsidRPr="00F91127">
        <w:rPr>
          <w:sz w:val="28"/>
          <w:szCs w:val="28"/>
        </w:rPr>
        <w:t>».</w:t>
      </w:r>
    </w:p>
    <w:p w:rsidR="00CB3E68" w:rsidRDefault="00CB3E68" w:rsidP="005A0C79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5A0C79" w:rsidRDefault="005A0C79" w:rsidP="005A0C79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23962">
        <w:rPr>
          <w:spacing w:val="-4"/>
          <w:sz w:val="28"/>
          <w:szCs w:val="28"/>
        </w:rPr>
        <w:t>ОК-1</w:t>
      </w:r>
      <w:r>
        <w:rPr>
          <w:spacing w:val="-4"/>
          <w:sz w:val="28"/>
          <w:szCs w:val="28"/>
        </w:rPr>
        <w:t xml:space="preserve"> </w:t>
      </w:r>
      <w:r w:rsidRPr="00881C54">
        <w:rPr>
          <w:sz w:val="28"/>
          <w:szCs w:val="28"/>
        </w:rPr>
        <w:t>Готовность 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5A0C79" w:rsidRPr="008D522F" w:rsidRDefault="005A0C79" w:rsidP="005A0C7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3962">
        <w:rPr>
          <w:sz w:val="28"/>
          <w:szCs w:val="28"/>
        </w:rPr>
        <w:t>ОК-2</w:t>
      </w:r>
      <w:r>
        <w:rPr>
          <w:sz w:val="28"/>
          <w:szCs w:val="28"/>
        </w:rPr>
        <w:t xml:space="preserve"> </w:t>
      </w:r>
      <w:r w:rsidRPr="00523962">
        <w:rPr>
          <w:sz w:val="28"/>
          <w:szCs w:val="28"/>
        </w:rPr>
        <w:t xml:space="preserve">Готовность обеспечивать </w:t>
      </w:r>
      <w:r w:rsidRPr="005B3CFC">
        <w:rPr>
          <w:sz w:val="28"/>
          <w:szCs w:val="28"/>
        </w:rPr>
        <w:t>безопасную среду</w:t>
      </w:r>
      <w:r w:rsidRPr="00523962">
        <w:rPr>
          <w:sz w:val="28"/>
          <w:szCs w:val="28"/>
        </w:rPr>
        <w:t xml:space="preserve"> для пациента и персонала</w:t>
      </w:r>
      <w:r>
        <w:rPr>
          <w:sz w:val="28"/>
          <w:szCs w:val="28"/>
        </w:rPr>
        <w:t>;</w:t>
      </w:r>
    </w:p>
    <w:p w:rsidR="005A0C79" w:rsidRPr="008D522F" w:rsidRDefault="005A0C79" w:rsidP="005A0C7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3962">
        <w:rPr>
          <w:sz w:val="28"/>
          <w:szCs w:val="28"/>
        </w:rPr>
        <w:t>ОК-3</w:t>
      </w:r>
      <w:r>
        <w:rPr>
          <w:sz w:val="28"/>
          <w:szCs w:val="28"/>
        </w:rPr>
        <w:t xml:space="preserve"> </w:t>
      </w:r>
      <w:r w:rsidRPr="00523962">
        <w:rPr>
          <w:sz w:val="28"/>
          <w:szCs w:val="28"/>
        </w:rPr>
        <w:t xml:space="preserve">Способность и готовность </w:t>
      </w:r>
      <w:r w:rsidRPr="00523962">
        <w:rPr>
          <w:rStyle w:val="FontStyle23"/>
          <w:sz w:val="28"/>
          <w:szCs w:val="28"/>
        </w:rPr>
        <w:t>оказывать медицинскую помощь в экстренной и неотложной формах при заболеваниях, состояниях, представляющих угрозу жизни пациента</w:t>
      </w:r>
      <w:r>
        <w:rPr>
          <w:sz w:val="28"/>
          <w:szCs w:val="28"/>
        </w:rPr>
        <w:t>;</w:t>
      </w:r>
    </w:p>
    <w:p w:rsidR="005A0C79" w:rsidRPr="006D3EAE" w:rsidRDefault="005A0C79" w:rsidP="005A0C7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 w:rsidRPr="006D3EAE">
        <w:rPr>
          <w:sz w:val="28"/>
          <w:szCs w:val="28"/>
        </w:rPr>
        <w:t xml:space="preserve"> Способность организовать лечебно</w:t>
      </w:r>
      <w:r>
        <w:rPr>
          <w:sz w:val="28"/>
          <w:szCs w:val="28"/>
        </w:rPr>
        <w:t>-</w:t>
      </w:r>
      <w:r w:rsidRPr="006D3EAE">
        <w:rPr>
          <w:sz w:val="28"/>
          <w:szCs w:val="28"/>
        </w:rPr>
        <w:t>профилактическую помощь сельскому населению</w:t>
      </w:r>
      <w:r>
        <w:rPr>
          <w:sz w:val="28"/>
          <w:szCs w:val="28"/>
        </w:rPr>
        <w:t>;</w:t>
      </w:r>
    </w:p>
    <w:p w:rsidR="005A0C79" w:rsidRPr="006D3EAE" w:rsidRDefault="005A0C79" w:rsidP="005A0C7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3EAE">
        <w:rPr>
          <w:sz w:val="28"/>
          <w:szCs w:val="28"/>
        </w:rPr>
        <w:t>ПК</w:t>
      </w:r>
      <w:r>
        <w:rPr>
          <w:sz w:val="28"/>
          <w:szCs w:val="28"/>
        </w:rPr>
        <w:t>-2</w:t>
      </w:r>
      <w:r w:rsidRPr="006D3EAE">
        <w:rPr>
          <w:sz w:val="28"/>
          <w:szCs w:val="28"/>
        </w:rPr>
        <w:t xml:space="preserve"> Способность организовать лечебно</w:t>
      </w:r>
      <w:r>
        <w:rPr>
          <w:sz w:val="28"/>
          <w:szCs w:val="28"/>
        </w:rPr>
        <w:t>-</w:t>
      </w:r>
      <w:r w:rsidRPr="006D3EAE">
        <w:rPr>
          <w:sz w:val="28"/>
          <w:szCs w:val="28"/>
        </w:rPr>
        <w:t>профилактическую помощь городскому населению</w:t>
      </w:r>
      <w:r>
        <w:rPr>
          <w:sz w:val="28"/>
          <w:szCs w:val="28"/>
        </w:rPr>
        <w:t>;</w:t>
      </w:r>
    </w:p>
    <w:p w:rsidR="005A0C79" w:rsidRPr="006D3EAE" w:rsidRDefault="005A0C79" w:rsidP="005A0C7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ПК-3</w:t>
      </w:r>
      <w:r w:rsidRPr="006D3EAE">
        <w:rPr>
          <w:sz w:val="28"/>
          <w:szCs w:val="28"/>
        </w:rPr>
        <w:t xml:space="preserve"> Способность организовать лечебно</w:t>
      </w:r>
      <w:r>
        <w:rPr>
          <w:sz w:val="28"/>
          <w:szCs w:val="28"/>
        </w:rPr>
        <w:t>-</w:t>
      </w:r>
      <w:r w:rsidRPr="006D3EAE">
        <w:rPr>
          <w:sz w:val="28"/>
          <w:szCs w:val="28"/>
        </w:rPr>
        <w:t>профилактическую помощь женщинам и детям</w:t>
      </w:r>
      <w:r>
        <w:rPr>
          <w:sz w:val="28"/>
          <w:szCs w:val="28"/>
        </w:rPr>
        <w:t>;</w:t>
      </w:r>
    </w:p>
    <w:p w:rsidR="005A0C79" w:rsidRPr="006D3EAE" w:rsidRDefault="005A0C79" w:rsidP="005A0C7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ПК-4</w:t>
      </w:r>
      <w:r w:rsidRPr="006D3EAE">
        <w:rPr>
          <w:sz w:val="28"/>
          <w:szCs w:val="28"/>
        </w:rPr>
        <w:t xml:space="preserve"> Способность эффективного управления материальными ресурсами организации, осуществ</w:t>
      </w:r>
      <w:r>
        <w:rPr>
          <w:sz w:val="28"/>
          <w:szCs w:val="28"/>
        </w:rPr>
        <w:t>ляющей медицинскую деятельность;</w:t>
      </w:r>
    </w:p>
    <w:p w:rsidR="005A0C79" w:rsidRPr="006D3EAE" w:rsidRDefault="005A0C79" w:rsidP="005A0C7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ПК-5</w:t>
      </w:r>
      <w:r w:rsidRPr="006D3EAE">
        <w:rPr>
          <w:sz w:val="28"/>
          <w:szCs w:val="28"/>
        </w:rPr>
        <w:t xml:space="preserve"> Способность эффективного управления планово</w:t>
      </w:r>
      <w:r>
        <w:rPr>
          <w:sz w:val="28"/>
          <w:szCs w:val="28"/>
        </w:rPr>
        <w:t>-</w:t>
      </w:r>
      <w:r w:rsidRPr="006D3EAE">
        <w:rPr>
          <w:sz w:val="28"/>
          <w:szCs w:val="28"/>
        </w:rPr>
        <w:t>экономической и финансовой деятельности организации, осуществ</w:t>
      </w:r>
      <w:r>
        <w:rPr>
          <w:sz w:val="28"/>
          <w:szCs w:val="28"/>
        </w:rPr>
        <w:t>ляющей медицинскую деятельность;</w:t>
      </w:r>
    </w:p>
    <w:p w:rsidR="005A0C79" w:rsidRPr="006D3EAE" w:rsidRDefault="005A0C79" w:rsidP="005A0C7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3EAE">
        <w:rPr>
          <w:sz w:val="28"/>
          <w:szCs w:val="28"/>
        </w:rPr>
        <w:lastRenderedPageBreak/>
        <w:t>ПК</w:t>
      </w:r>
      <w:r>
        <w:rPr>
          <w:sz w:val="28"/>
          <w:szCs w:val="28"/>
        </w:rPr>
        <w:t>-6</w:t>
      </w:r>
      <w:r w:rsidRPr="006D3EAE">
        <w:rPr>
          <w:sz w:val="28"/>
          <w:szCs w:val="28"/>
        </w:rPr>
        <w:t xml:space="preserve"> Способность эффективного управления и рационального использования кадровых ресурсов организации, осуществляющей медицинскую деятельность.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630EC"/>
    <w:rsid w:val="001B0741"/>
    <w:rsid w:val="003E0CF9"/>
    <w:rsid w:val="00526BE1"/>
    <w:rsid w:val="005A0C79"/>
    <w:rsid w:val="007146CD"/>
    <w:rsid w:val="00724253"/>
    <w:rsid w:val="00900664"/>
    <w:rsid w:val="00920F5B"/>
    <w:rsid w:val="00BE25EE"/>
    <w:rsid w:val="00CB3E68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351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99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99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2">
    <w:name w:val="List 2"/>
    <w:basedOn w:val="a"/>
    <w:uiPriority w:val="99"/>
    <w:semiHidden/>
    <w:unhideWhenUsed/>
    <w:rsid w:val="001630EC"/>
    <w:pPr>
      <w:ind w:left="566" w:hanging="283"/>
    </w:pPr>
    <w:rPr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B3E68"/>
    <w:rPr>
      <w:rFonts w:ascii="Times New Roman" w:hAnsi="Times New Roman" w:cs="Times New Roman" w:hint="default"/>
    </w:rPr>
  </w:style>
  <w:style w:type="character" w:customStyle="1" w:styleId="20">
    <w:name w:val="Основной текст (2)"/>
    <w:basedOn w:val="a0"/>
    <w:rsid w:val="00CB3E6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FontStyle23">
    <w:name w:val="Font Style23"/>
    <w:basedOn w:val="a0"/>
    <w:uiPriority w:val="99"/>
    <w:rsid w:val="00CB3E6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12</cp:revision>
  <cp:lastPrinted>2021-02-24T10:14:00Z</cp:lastPrinted>
  <dcterms:created xsi:type="dcterms:W3CDTF">2021-02-24T09:33:00Z</dcterms:created>
  <dcterms:modified xsi:type="dcterms:W3CDTF">2021-07-08T06:28:00Z</dcterms:modified>
</cp:coreProperties>
</file>